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Общество с ограниченной ответственностью</w:t>
      </w:r>
      <w:r>
        <w:rPr>
          <w:b/>
          <w:sz w:val="28"/>
          <w:szCs w:val="28"/>
          <w:lang w:val="ru-RU"/>
        </w:rPr>
      </w:r>
    </w:p>
    <w:p>
      <w:pPr>
        <w:pStyle w:val="62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«ПЕРВАЯ ПРОМЫШЛЕННАЯ АКАДЕМИЯ»</w:t>
      </w:r>
      <w:r>
        <w:rPr>
          <w:b/>
          <w:sz w:val="28"/>
          <w:szCs w:val="28"/>
          <w:lang w:val="ru-RU"/>
        </w:rPr>
      </w:r>
    </w:p>
    <w:p>
      <w:pPr>
        <w:pStyle w:val="62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(ООО «ППА»)</w:t>
      </w:r>
      <w:r>
        <w:rPr>
          <w:b/>
          <w:sz w:val="28"/>
          <w:szCs w:val="28"/>
          <w:lang w:val="ru-RU"/>
        </w:rPr>
      </w:r>
    </w:p>
    <w:p>
      <w:pPr>
        <w:pStyle w:val="628"/>
        <w:jc w:val="center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628"/>
        <w:jc w:val="right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628"/>
        <w:jc w:val="right"/>
        <w:spacing w:before="0" w:after="0" w:line="360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Утверждаю: </w:t>
      </w:r>
      <w:r>
        <w:rPr>
          <w:bCs/>
          <w:sz w:val="28"/>
          <w:szCs w:val="28"/>
          <w:lang w:val="ru-RU"/>
        </w:rPr>
      </w:r>
    </w:p>
    <w:p>
      <w:pPr>
        <w:pStyle w:val="628"/>
        <w:jc w:val="right"/>
        <w:spacing w:before="0" w:after="0" w:line="360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  <w:r>
        <w:rPr>
          <w:bCs/>
          <w:sz w:val="28"/>
          <w:szCs w:val="28"/>
          <w:lang w:val="ru-RU"/>
        </w:rPr>
      </w:r>
    </w:p>
    <w:p>
      <w:pPr>
        <w:pStyle w:val="628"/>
        <w:jc w:val="right"/>
        <w:spacing w:before="0"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«___» ________________2023 г. </w:t>
      </w:r>
      <w:r>
        <w:rPr>
          <w:bCs/>
          <w:sz w:val="28"/>
          <w:szCs w:val="28"/>
        </w:rPr>
      </w:r>
    </w:p>
    <w:p>
      <w:pPr>
        <w:pStyle w:val="628"/>
        <w:ind w:left="3060" w:right="-261" w:firstLine="413"/>
        <w:jc w:val="center"/>
        <w:spacing w:before="100" w:after="100"/>
        <w:rPr>
          <w:bCs/>
        </w:rPr>
      </w:pPr>
      <w:r>
        <w:rPr>
          <w:bCs/>
        </w:rPr>
        <w:t xml:space="preserve">м.п.</w:t>
      </w:r>
      <w:r>
        <w:rPr>
          <w:bCs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bCs/>
          <w:sz w:val="26"/>
        </w:rPr>
      </w:pPr>
      <w:r>
        <w:rPr>
          <w:b/>
          <w:bCs/>
          <w:sz w:val="26"/>
        </w:rPr>
      </w:r>
      <w:r>
        <w:rPr>
          <w:b/>
          <w:bCs/>
          <w:sz w:val="26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628"/>
        <w:ind w:left="452" w:right="10" w:hanging="10"/>
        <w:jc w:val="center"/>
        <w:spacing w:before="0" w:after="0" w:line="264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ПОЛОЖЕНИЕ</w:t>
      </w:r>
      <w:r>
        <w:rPr>
          <w:b/>
          <w:sz w:val="28"/>
          <w:szCs w:val="24"/>
        </w:rPr>
      </w:r>
    </w:p>
    <w:p>
      <w:pPr>
        <w:pStyle w:val="628"/>
        <w:ind w:left="452" w:right="19" w:hanging="10"/>
        <w:jc w:val="center"/>
        <w:spacing w:before="0" w:after="7166" w:line="264" w:lineRule="auto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О ПОРЯДКЕ УТВЕРЖДЕНИЯ ЛОКАЛЬНЫХ НОРМАТИВНЫХ АКТОВ</w:t>
      </w:r>
      <w:r>
        <w:rPr>
          <w:b/>
          <w:sz w:val="28"/>
          <w:szCs w:val="24"/>
          <w:lang w:val="ru-RU"/>
        </w:rPr>
      </w:r>
    </w:p>
    <w:p>
      <w:pPr>
        <w:pStyle w:val="628"/>
        <w:ind w:left="423" w:right="19" w:hanging="10"/>
        <w:jc w:val="center"/>
        <w:spacing w:before="0" w:after="273" w:line="256" w:lineRule="auto"/>
        <w:rPr>
          <w:b/>
          <w:lang w:val="ru-RU"/>
        </w:rPr>
      </w:pPr>
      <w:r>
        <w:rPr>
          <w:b/>
          <w:sz w:val="28"/>
          <w:lang w:val="ru-RU"/>
        </w:rPr>
        <w:t xml:space="preserve">г. Москва</w:t>
      </w:r>
      <w:r>
        <w:rPr>
          <w:b/>
          <w:lang w:val="ru-RU"/>
        </w:rPr>
      </w:r>
    </w:p>
    <w:p>
      <w:pPr>
        <w:pStyle w:val="628"/>
        <w:ind w:left="0" w:right="0" w:firstLine="567"/>
        <w:jc w:val="center"/>
        <w:spacing w:before="0" w:after="0" w:line="276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ГЛАВА 1. ОБЩИЕ ПОЛОЖЕНИЯ. ТЕРМИНЫ И ОПРЕДЕЛЕНИЯ</w:t>
      </w:r>
      <w:r>
        <w:rPr>
          <w:b/>
          <w:bCs/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1.1. Настоящее Положение о порядк</w:t>
      </w:r>
      <w:r>
        <w:rPr>
          <w:lang w:val="ru-RU"/>
        </w:rPr>
        <w:t xml:space="preserve">е утверждения локальных нормативных актов (далее - Положение) разработано  Обществом с ограниченной ответственностью «Первая Промышленная академия» (далее – ООО «ППА») в соответствии со ст.28, ч.2, ч.4. ст.30 ФЗ-273 «Об образовании в Российской Федерации».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1.2. ООО «ППА» обладает самостоятельностью в разработке и принятии локальных нормативных актов в соответствии с Федеральным законом об образовании, иными нормативными правовыми актами Российской Федерации и Уставом.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1.3. Локальный нормативный акт — это письменный официальный документ организации, принятый (изданный) в определенной форме в пределах ее компетенции и направленный на установление, изменение или отмену норм, регулирующих ее деятельность. 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1.4. Локальным актом высшей юридической силы в ООО «ППА» является ее Устав.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1.5. Копии локальных актов: правила внутреннего распорядка обучающихся, правила внутреннего тру</w:t>
      </w:r>
      <w:r>
        <w:rPr>
          <w:lang w:val="ru-RU"/>
        </w:rPr>
        <w:t xml:space="preserve">дового распорядка, нормативные акты, предусмотренные ч. 2 ст. 30 Федерального закона № 273-ФЗ, размещаются на официальном сайте ООО «ППА» в сети «Интернет» согласно статье 29 ФЗ № 273 «Об образовании в Российской Федерации».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" behindDoc="0" locked="0" layoutInCell="0" allowOverlap="1">
                <wp:simplePos x="0" y="0"/>
                <wp:positionH relativeFrom="page">
                  <wp:posOffset>7019925</wp:posOffset>
                </wp:positionH>
                <wp:positionV relativeFrom="page">
                  <wp:posOffset>3157855</wp:posOffset>
                </wp:positionV>
                <wp:extent cx="6350" cy="12065"/>
                <wp:effectExtent l="0" t="0" r="0" b="0"/>
                <wp:wrapSquare wrapText="bothSides"/>
                <wp:docPr id="1" name="Picture 218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18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-3846" t="-1887" r="-3846" b="-1887"/>
                        <a:stretch/>
                      </pic:blipFill>
                      <pic:spPr bwMode="auto">
                        <a:xfrm>
                          <a:off x="0" y="0"/>
                          <a:ext cx="6350" cy="12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page;margin-left:552.75pt;mso-position-horizontal:absolute;mso-position-vertical-relative:page;margin-top:248.65pt;mso-position-vertical:absolute;width:0.50pt;height:0.95pt;mso-wrap-distance-left:9.05pt;mso-wrap-distance-top:0.00pt;mso-wrap-distance-right:9.05pt;mso-wrap-distance-bottom:0.0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lang w:val="ru-RU"/>
        </w:rPr>
        <w:t xml:space="preserve">1.6. Локальные нормативные акты принимаются по основным вопросам образовательной деятельности. Это акты, регламентирующие правила приема обучающихся, режим занятий, формы, пер</w:t>
      </w:r>
      <w:r>
        <w:rPr>
          <w:lang w:val="ru-RU"/>
        </w:rPr>
        <w:t xml:space="preserve">иодичность и порядок текущего контроля успеваемости и промежуточной аттестации,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ООО «ППА» и обучающимися и др..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1.7. При принятии локальных нормативных актов, затрагивающих </w:t>
      </w:r>
      <w:r>
        <w:rPr>
          <w:lang w:val="ru-RU"/>
        </w:rPr>
        <w:t xml:space="preserve">права обучающихся и работников, учитывается мнение совета обучающихся (при наличии), а также в случаях, предусмотренных трудовым законодательством, например, ст. 8 и 372 Трудового кодекса РФ, представительных органов работников (при наличии таких органов).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1.8. ООО «ППА» имеет право разрабатывать локальные акты по любым вопросам деятельности ООО «ППА» входящих в ее компетенцию.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1.9. Локальный акт является документом, обязательным для исполнения всеми работниками ООО «ППА» и участниками образовательного процесса. 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1.10. Локальные акты, утверждаемые Генеральным директором ООО «ППА»: 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положения о структурных подразделениях;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штатное расписание;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структура и штатная численность;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должностные оклады;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оплата труда преподавательского состава;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трудовые договоры;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номенклатура дел;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инструкция по делопроизводству;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приказы и распоряжения по вопросам основной деятельности;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поощрений и взысканий;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контроля качества образовательного процесса;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приема и отчисления слушателей;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бухгалтерского учета и отчетности;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другие документы, согласно номенклатуре дел;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планирования и организации образовательного процесса в ООО «ППА»; 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правила внутреннего трудового распорядка;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разработки и утверждения учебно-методической документации;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режима и расписания занятий;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утверждения календарных учебных графиков; 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формирования аттестационных, апелляционных комиссий;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</w:pPr>
      <w:r>
        <w:rPr>
          <w:lang w:val="ru-RU"/>
        </w:rPr>
        <w:t xml:space="preserve">по вопросам текущей, промежуточной и итоговой аттестации;</w:t>
      </w:r>
      <w:r/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внесения изменений в Устав ООО «ППА»;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приоритетных направлений деятельности ООО «ППА»;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вопросам использования имущества ООО «ППА»; 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иным вопросам, связанным с организацией образовательного процесса в ООО «ППА».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1.11. Локальные акты актуализируются по мере необходимости.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28"/>
        <w:ind w:left="0" w:right="0" w:firstLine="567"/>
        <w:jc w:val="center"/>
        <w:spacing w:before="0" w:after="0" w:line="27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2. ПОРЯДОК ПРИНЯТИЯ ЛОКАЛЬНОГО АКТА</w:t>
      </w:r>
      <w:r>
        <w:rPr>
          <w:b/>
          <w:bCs/>
          <w:lang w:val="ru-RU"/>
        </w:rPr>
      </w:r>
    </w:p>
    <w:p>
      <w:pPr>
        <w:pStyle w:val="628"/>
        <w:ind w:left="0" w:right="10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2.1. Генеральный директор ООО «ППА» принимает локальный акт следующими способами: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851" w:right="10" w:hanging="360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утвердить положение/инструкции/ ДПОП и ППО;</w:t>
      </w:r>
      <w:r>
        <w:rPr>
          <w:lang w:val="ru-RU"/>
        </w:rPr>
      </w:r>
    </w:p>
    <w:p>
      <w:pPr>
        <w:pStyle w:val="628"/>
        <w:numPr>
          <w:ilvl w:val="0"/>
          <w:numId w:val="3"/>
        </w:numPr>
        <w:ind w:left="851" w:right="10" w:hanging="360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издать приказ (распоряжение) об утверждении локального акта.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2.2. На каждом локальном акте в правом верхнем углу на титуле проставляется запись: «УТВЕРЖДАЮ» Генеральный директор подпись, дата». 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2.3. Работники ООО «ППА» должны быть ознакомлены под роспись со всеми локальными актами, принимаемыми в ООО «ППА» и непосредственно связанными с их трудовой деятельностью.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2.4. Подтвердить факт ознакомления работников с локальными актами можно несколькими способами.</w:t>
      </w:r>
      <w:r>
        <w:rPr>
          <w:lang w:val="ru-RU"/>
        </w:rPr>
      </w:r>
    </w:p>
    <w:p>
      <w:pPr>
        <w:pStyle w:val="628"/>
        <w:numPr>
          <w:ilvl w:val="0"/>
          <w:numId w:val="1"/>
        </w:numPr>
        <w:ind w:left="0" w:right="7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подписью лица на листе ознакомления, где должны быть указаны его фамилия, имя, отчество</w:t>
      </w:r>
      <w:r>
        <w:rPr>
          <w:lang w:val="ru-RU"/>
        </w:rPr>
        <w:t xml:space="preserve"> и дата ознакомления. Этот лист прилагается к каждому локальному акту, нумеруется, прошивается и скрепляется печатью и подписью должностного лица, такие листы могут быть приложением к трудовому договору работника или к материалам личного дела обучающегося.</w:t>
      </w:r>
      <w:r>
        <w:rPr>
          <w:lang w:val="ru-RU"/>
        </w:rPr>
      </w:r>
    </w:p>
    <w:p>
      <w:pPr>
        <w:pStyle w:val="628"/>
        <w:numPr>
          <w:ilvl w:val="0"/>
          <w:numId w:val="1"/>
        </w:numPr>
        <w:ind w:left="0" w:right="7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подписью лица в отдельном документе - журнале ознакомления с локальными актами.</w:t>
      </w:r>
      <w:r>
        <w:rPr>
          <w:lang w:val="ru-RU"/>
        </w:rPr>
      </w:r>
    </w:p>
    <w:p>
      <w:pPr>
        <w:numPr>
          <w:ilvl w:val="0"/>
          <w:numId w:val="1"/>
        </w:numPr>
        <w:ind w:left="0" w:right="7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highlight w:val="none"/>
          <w:lang w:val="ru-RU"/>
        </w:rPr>
        <w:t xml:space="preserve">Путем размещения на официальном сайте Академии.</w:t>
      </w:r>
      <w:r>
        <w:rPr>
          <w:highlight w:val="none"/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2.5. Если локальный акт касается обучающихся, он должен быть доведен до их сведения, в том числе, путем размещения на официальном сайте ООО «ППА» в сети «Интернет» в разделе Документы.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28"/>
        <w:ind w:left="0" w:right="0" w:firstLine="567"/>
        <w:jc w:val="center"/>
        <w:spacing w:before="0" w:after="0" w:line="27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3. ЛОКАЛЬНЫЕ АКТЫ, РЕГУЛИРУЮЩИЕ ТРУДОВЫЕ ОТНОШЕНИЯ</w:t>
      </w:r>
      <w:r>
        <w:rPr>
          <w:b/>
          <w:bCs/>
          <w:lang w:val="ru-RU"/>
        </w:rPr>
      </w:r>
    </w:p>
    <w:p>
      <w:pPr>
        <w:pStyle w:val="628"/>
        <w:numPr>
          <w:ilvl w:val="1"/>
          <w:numId w:val="5"/>
        </w:numPr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Основу нормирования трудовых отношений составляет Трудовой кодекс и иные нормы трудового права, а также коллективный договор и иные соглашения, предметом которых являются трудовые отношения.</w:t>
      </w:r>
      <w:r>
        <w:rPr>
          <w:lang w:val="ru-RU"/>
        </w:rPr>
      </w:r>
    </w:p>
    <w:p>
      <w:pPr>
        <w:pStyle w:val="628"/>
        <w:numPr>
          <w:ilvl w:val="1"/>
          <w:numId w:val="5"/>
        </w:numPr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В некоторых случаях необходимость утверждения локальных актов прямо предусмотрена Трудовым кодексом РФ.</w:t>
      </w:r>
      <w:r>
        <w:rPr>
          <w:lang w:val="ru-RU"/>
        </w:rPr>
      </w:r>
    </w:p>
    <w:p>
      <w:pPr>
        <w:pStyle w:val="628"/>
        <w:numPr>
          <w:ilvl w:val="1"/>
          <w:numId w:val="5"/>
        </w:numPr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При утверждении ЛА, затрагивающих интересы обучающихся, их родителей и педагогических работников должны быть предусмотрены процедуры согласования с заинтересованными лицами.</w:t>
      </w:r>
      <w:r>
        <w:rPr>
          <w:lang w:val="ru-RU"/>
        </w:rPr>
      </w:r>
    </w:p>
    <w:p>
      <w:pPr>
        <w:pStyle w:val="628"/>
        <w:numPr>
          <w:ilvl w:val="1"/>
          <w:numId w:val="5"/>
        </w:numPr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Формы локальных актов ООО «ППА» устанавливает самостоятельно.</w:t>
      </w:r>
      <w:r>
        <w:rPr>
          <w:lang w:val="ru-RU"/>
        </w:rPr>
      </w:r>
    </w:p>
    <w:p>
      <w:pPr>
        <w:pStyle w:val="628"/>
        <w:ind w:left="567" w:right="14" w:firstLine="0"/>
        <w:spacing w:before="0" w:after="0"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28"/>
        <w:ind w:left="0" w:right="0" w:firstLine="567"/>
        <w:jc w:val="center"/>
        <w:spacing w:before="0" w:after="0" w:line="27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4. СТРУКТУРА ЛОКАЛЬНОГО АКТА</w:t>
      </w:r>
      <w:r>
        <w:rPr>
          <w:b/>
          <w:bCs/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4.1. Структура локального акта.</w:t>
      </w:r>
      <w:r>
        <w:rPr>
          <w:lang w:val="ru-RU"/>
        </w:rPr>
      </w:r>
    </w:p>
    <w:p>
      <w:pPr>
        <w:pStyle w:val="628"/>
        <w:ind w:left="0" w:right="1316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4.1.1. Локальный акт должен содержать следующие обязательные реквизиты: 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 w:eastAsia="en-US"/>
        </w:rPr>
      </w:pPr>
      <w:r>
        <w:rPr>
          <w:lang w:val="ru-RU"/>
        </w:rPr>
        <w:t xml:space="preserve">наименование органа, издавшего акт; </w:t>
      </w:r>
      <w:r>
        <w:rPr>
          <w:lang w:val="ru-RU" w:eastAsia="en-US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наименование вида акта и его название;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дата подписания (утверждения) акта и его номер;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 w:eastAsia="en-US"/>
        </w:rPr>
      </w:pPr>
      <w:r>
        <w:rPr>
          <w:lang w:val="ru-RU"/>
        </w:rPr>
        <w:t xml:space="preserve">наименование должности и фамилии лица, подписавшего акт;</w:t>
      </w:r>
      <w:r>
        <w:rPr>
          <w:lang w:val="ru-RU" w:eastAsia="en-US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разъяснение целей и мотивов принятия нормативного правового акта;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положения нормативного характера;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цитирование законодательства;</w:t>
      </w:r>
      <w:r>
        <w:rPr>
          <w:lang w:val="ru-RU"/>
        </w:rPr>
      </w:r>
    </w:p>
    <w:p>
      <w:pPr>
        <w:pStyle w:val="628"/>
        <w:numPr>
          <w:ilvl w:val="0"/>
          <w:numId w:val="4"/>
        </w:numPr>
        <w:ind w:left="0" w:right="1316" w:firstLine="567"/>
        <w:spacing w:before="0" w:after="0" w:line="276" w:lineRule="auto"/>
        <w:tabs>
          <w:tab w:val="clear" w:pos="720" w:leader="none"/>
          <w:tab w:val="left" w:pos="1134" w:leader="none"/>
        </w:tabs>
        <w:rPr>
          <w:lang w:val="ru-RU"/>
        </w:rPr>
      </w:pPr>
      <w:r>
        <w:rPr>
          <w:lang w:val="ru-RU"/>
        </w:rPr>
        <w:t xml:space="preserve">описание процессов и процедур.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4.1.2. При необходимости для полноты изложения вопроса могут воспроизводиться отдельные положения актов законодательства, которые должны иметь ссылки на эти акты и на официальный источник их опубликования.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28"/>
        <w:ind w:left="0" w:right="0" w:firstLine="567"/>
        <w:jc w:val="center"/>
        <w:spacing w:before="0" w:after="0" w:line="27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5. ИЗМЕНЕНИЯ И ОТМЕНА ЛОКАЛЬНОГО АКТА</w:t>
      </w:r>
      <w:r>
        <w:rPr>
          <w:b/>
          <w:bCs/>
          <w:lang w:val="ru-RU"/>
        </w:rPr>
      </w:r>
    </w:p>
    <w:p>
      <w:pPr>
        <w:pStyle w:val="628"/>
        <w:ind w:left="0" w:right="0" w:firstLine="567"/>
        <w:spacing w:before="0" w:after="0" w:line="276" w:lineRule="auto"/>
        <w:rPr>
          <w:sz w:val="22"/>
          <w:szCs w:val="20"/>
          <w:lang w:val="ru-RU"/>
        </w:rPr>
      </w:pPr>
      <w:r>
        <w:rPr>
          <w:szCs w:val="20"/>
          <w:lang w:val="ru-RU"/>
        </w:rPr>
        <w:t xml:space="preserve">5.1. Изменение локальных нормативных актов.</w:t>
      </w:r>
      <w:r>
        <w:rPr>
          <w:sz w:val="22"/>
          <w:szCs w:val="20"/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5.1.1. ООО «ППА» может вносить изменения в локальные акты:</w:t>
      </w:r>
      <w:r>
        <w:rPr>
          <w:lang w:val="ru-RU"/>
        </w:rPr>
      </w:r>
    </w:p>
    <w:p>
      <w:pPr>
        <w:pStyle w:val="628"/>
        <w:numPr>
          <w:ilvl w:val="0"/>
          <w:numId w:val="2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в связи со вступлением в силу либо изменением закона или другого нормативного правового акта, содержащего нормы трудового права, коллективного договора, соглашения;</w:t>
      </w:r>
      <w:r>
        <w:rPr>
          <w:lang w:val="ru-RU"/>
        </w:rPr>
      </w:r>
    </w:p>
    <w:p>
      <w:pPr>
        <w:pStyle w:val="628"/>
        <w:numPr>
          <w:ilvl w:val="0"/>
          <w:numId w:val="2"/>
        </w:numPr>
        <w:ind w:left="0" w:right="14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по собственному усмотрению.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5.1.2. Изменения вносятся в том же порядке, в котором локальный акт разрабатывался и утверждался первоначально.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5.2. Отмена локальных нормативных актов.</w:t>
      </w:r>
      <w:r>
        <w:rPr>
          <w:lang w:val="ru-RU"/>
        </w:rPr>
      </w:r>
    </w:p>
    <w:p>
      <w:pPr>
        <w:pStyle w:val="628"/>
        <w:ind w:left="0" w:right="14" w:firstLine="567"/>
        <w:spacing w:before="0" w:after="0" w:line="276" w:lineRule="auto"/>
        <w:rPr>
          <w:lang w:val="ru-RU"/>
        </w:rPr>
      </w:pPr>
      <w:r>
        <w:rPr>
          <w:lang w:val="ru-RU"/>
        </w:rPr>
        <w:t xml:space="preserve">5.2.1. Основаниями для прекращения действия локального акта или отдельных его положений являются:</w:t>
      </w:r>
      <w:r>
        <w:rPr>
          <w:lang w:val="ru-RU"/>
        </w:rPr>
      </w:r>
    </w:p>
    <w:p>
      <w:pPr>
        <w:pStyle w:val="628"/>
        <w:numPr>
          <w:ilvl w:val="0"/>
          <w:numId w:val="2"/>
        </w:numPr>
        <w:ind w:left="0" w:right="-5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истечение срока действия (если при разработке локального акта был определен период его действия);</w:t>
      </w:r>
      <w:r>
        <w:rPr>
          <w:lang w:val="ru-RU"/>
        </w:rPr>
      </w:r>
    </w:p>
    <w:p>
      <w:pPr>
        <w:pStyle w:val="628"/>
        <w:numPr>
          <w:ilvl w:val="0"/>
          <w:numId w:val="2"/>
        </w:numPr>
        <w:ind w:left="0" w:right="-5" w:firstLine="567"/>
        <w:spacing w:before="0" w:after="0" w:line="276" w:lineRule="auto"/>
        <w:tabs>
          <w:tab w:val="clear" w:pos="720" w:leader="none"/>
          <w:tab w:val="left" w:pos="993" w:leader="none"/>
        </w:tabs>
        <w:rPr>
          <w:lang w:val="ru-RU"/>
        </w:rPr>
      </w:pPr>
      <w:r>
        <w:rPr>
          <w:lang w:val="ru-RU"/>
        </w:rPr>
        <w:t xml:space="preserve">вст</w:t>
      </w:r>
      <w:r>
        <w:rPr>
          <w:lang w:val="ru-RU"/>
        </w:rPr>
        <w:t xml:space="preserve">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актом.</w:t>
      </w:r>
      <w:r>
        <w:rPr>
          <w:lang w:val="ru-RU"/>
        </w:rPr>
      </w:r>
    </w:p>
    <w:p>
      <w:pPr>
        <w:pStyle w:val="628"/>
        <w:ind w:left="5042" w:right="0" w:firstLine="0"/>
        <w:jc w:val="left"/>
        <w:spacing w:before="0" w:after="0" w:line="256" w:lineRule="auto"/>
        <w:rPr>
          <w:vanish/>
          <w:lang w:val="en-US" w:eastAsia="en-US"/>
        </w:rPr>
      </w:pPr>
      <w:r/>
      <w:r/>
      <w:bookmarkStart w:id="1" w:name="_PictureBullets"/>
      <w:r/>
      <w:bookmarkEnd w:id="1"/>
      <w:r/>
      <w:r>
        <w:rPr>
          <w:vanish/>
          <w:lang w:val="en-US" w:eastAsia="en-US"/>
        </w:rPr>
      </w:r>
    </w:p>
    <w:sectPr>
      <w:footnotePr/>
      <w:endnotePr/>
      <w:type w:val="nextPage"/>
      <w:pgSz w:w="11906" w:h="16838" w:orient="portrait"/>
      <w:pgMar w:top="832" w:right="855" w:bottom="1244" w:left="97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427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59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1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3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75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47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19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19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8"/>
    <w:next w:val="6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8"/>
    <w:next w:val="6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8"/>
    <w:next w:val="6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8"/>
    <w:next w:val="6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8"/>
    <w:next w:val="6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8"/>
    <w:next w:val="6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8"/>
    <w:next w:val="6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8"/>
    <w:next w:val="6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8"/>
    <w:next w:val="6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8"/>
    <w:next w:val="6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8"/>
    <w:next w:val="6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8"/>
    <w:next w:val="6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8"/>
    <w:next w:val="6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5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qFormat/>
    <w:pPr>
      <w:ind w:left="432" w:right="288" w:firstLine="413"/>
      <w:jc w:val="both"/>
      <w:spacing w:before="0" w:after="9" w:line="278" w:lineRule="auto"/>
      <w:widowControl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character" w:styleId="629">
    <w:name w:val="WW8Num1z0"/>
    <w:qFormat/>
    <w:rPr>
      <w:rFonts w:ascii="Symbol" w:hAnsi="Symbol" w:cs="Symbol"/>
    </w:rPr>
  </w:style>
  <w:style w:type="character" w:styleId="630">
    <w:name w:val="WW8Num2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31">
    <w:name w:val="WW8Num3z0"/>
    <w:qFormat/>
    <w:rPr>
      <w:rFonts w:ascii="Symbol" w:hAnsi="Symbol" w:cs="Symbol"/>
    </w:rPr>
  </w:style>
  <w:style w:type="character" w:styleId="632">
    <w:name w:val="WW8Num4z0"/>
    <w:qFormat/>
    <w:rPr>
      <w:rFonts w:ascii="Symbol" w:hAnsi="Symbol" w:cs="Symbol"/>
    </w:rPr>
  </w:style>
  <w:style w:type="character" w:styleId="633">
    <w:name w:val="WW8Num4z1"/>
    <w:qFormat/>
    <w:rPr>
      <w:rFonts w:ascii="Courier New" w:hAnsi="Courier New" w:cs="Courier New"/>
    </w:rPr>
  </w:style>
  <w:style w:type="character" w:styleId="634">
    <w:name w:val="WW8Num4z2"/>
    <w:qFormat/>
    <w:rPr>
      <w:rFonts w:ascii="Wingdings" w:hAnsi="Wingdings" w:cs="Wingdings"/>
    </w:rPr>
  </w:style>
  <w:style w:type="character" w:styleId="635">
    <w:name w:val="WW8Num5z0"/>
    <w:qFormat/>
    <w:rPr>
      <w:rFonts w:ascii="Symbol" w:hAnsi="Symbol" w:cs="Symbol"/>
    </w:rPr>
  </w:style>
  <w:style w:type="character" w:styleId="636">
    <w:name w:val="WW8Num5z1"/>
    <w:qFormat/>
    <w:rPr>
      <w:rFonts w:ascii="Courier New" w:hAnsi="Courier New" w:cs="Courier New"/>
    </w:rPr>
  </w:style>
  <w:style w:type="character" w:styleId="637">
    <w:name w:val="WW8Num5z2"/>
    <w:qFormat/>
    <w:rPr>
      <w:rFonts w:ascii="Wingdings" w:hAnsi="Wingdings" w:cs="Wingdings"/>
    </w:rPr>
  </w:style>
  <w:style w:type="character" w:styleId="638">
    <w:name w:val="WW8Num6z0"/>
    <w:qFormat/>
    <w:rPr>
      <w:rFonts w:ascii="Symbol" w:hAnsi="Symbol" w:cs="Symbol"/>
    </w:rPr>
  </w:style>
  <w:style w:type="character" w:styleId="639">
    <w:name w:val="WW8Num6z1"/>
    <w:qFormat/>
    <w:rPr>
      <w:rFonts w:ascii="Courier New" w:hAnsi="Courier New" w:cs="Courier New"/>
    </w:rPr>
  </w:style>
  <w:style w:type="character" w:styleId="640">
    <w:name w:val="WW8Num6z2"/>
    <w:qFormat/>
    <w:rPr>
      <w:rFonts w:ascii="Wingdings" w:hAnsi="Wingdings" w:cs="Wingdings"/>
    </w:rPr>
  </w:style>
  <w:style w:type="character" w:styleId="641">
    <w:name w:val="WW8Num7z0"/>
    <w:qFormat/>
    <w:rPr>
      <w:rFonts w:ascii="Symbol" w:hAnsi="Symbol" w:cs="Symbol"/>
    </w:rPr>
  </w:style>
  <w:style w:type="character" w:styleId="642">
    <w:name w:val="WW8Num7z1"/>
    <w:qFormat/>
    <w:rPr>
      <w:rFonts w:ascii="Courier New" w:hAnsi="Courier New" w:cs="Courier New"/>
    </w:rPr>
  </w:style>
  <w:style w:type="character" w:styleId="643">
    <w:name w:val="WW8Num7z2"/>
    <w:qFormat/>
    <w:rPr>
      <w:rFonts w:ascii="Wingdings" w:hAnsi="Wingdings" w:cs="Wingdings"/>
    </w:rPr>
  </w:style>
  <w:style w:type="character" w:styleId="644">
    <w:name w:val="WW8Num8z0"/>
    <w:qFormat/>
    <w:rPr>
      <w:rFonts w:ascii="Symbol" w:hAnsi="Symbol" w:cs="Symbol"/>
    </w:rPr>
  </w:style>
  <w:style w:type="character" w:styleId="645">
    <w:name w:val="WW8Num9z0"/>
    <w:qFormat/>
    <w:rPr>
      <w:rFonts w:ascii="Symbol" w:hAnsi="Symbol" w:cs="Symbol"/>
    </w:rPr>
  </w:style>
  <w:style w:type="character" w:styleId="646">
    <w:name w:val="WW8Num9z1"/>
    <w:qFormat/>
    <w:rPr>
      <w:rFonts w:ascii="Courier New" w:hAnsi="Courier New" w:cs="Courier New"/>
    </w:rPr>
  </w:style>
  <w:style w:type="character" w:styleId="647">
    <w:name w:val="WW8Num9z2"/>
    <w:qFormat/>
    <w:rPr>
      <w:rFonts w:ascii="Wingdings" w:hAnsi="Wingdings" w:cs="Wingdings"/>
    </w:rPr>
  </w:style>
  <w:style w:type="character" w:styleId="648">
    <w:name w:val="WW8Num10z0"/>
    <w:qFormat/>
    <w:rPr>
      <w:rFonts w:ascii="Symbol" w:hAnsi="Symbol" w:cs="Symbol"/>
    </w:rPr>
  </w:style>
  <w:style w:type="character" w:styleId="649">
    <w:name w:val="WW8Num10z1"/>
    <w:qFormat/>
    <w:rPr>
      <w:rFonts w:ascii="Courier New" w:hAnsi="Courier New" w:cs="Courier New"/>
    </w:rPr>
  </w:style>
  <w:style w:type="character" w:styleId="650">
    <w:name w:val="WW8Num10z2"/>
    <w:qFormat/>
    <w:rPr>
      <w:rFonts w:ascii="Wingdings" w:hAnsi="Wingdings" w:cs="Wingdings"/>
    </w:rPr>
  </w:style>
  <w:style w:type="character" w:styleId="651">
    <w:name w:val="WW8Num11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2">
    <w:name w:val="Основной шрифт абзаца"/>
    <w:qFormat/>
  </w:style>
  <w:style w:type="paragraph" w:styleId="653">
    <w:name w:val="Heading"/>
    <w:basedOn w:val="628"/>
    <w:next w:val="65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54">
    <w:name w:val="Body Text"/>
    <w:basedOn w:val="628"/>
    <w:pPr>
      <w:spacing w:before="0" w:after="140" w:line="276" w:lineRule="auto"/>
    </w:pPr>
  </w:style>
  <w:style w:type="paragraph" w:styleId="655">
    <w:name w:val="List"/>
    <w:basedOn w:val="654"/>
  </w:style>
  <w:style w:type="paragraph" w:styleId="656">
    <w:name w:val="Caption"/>
    <w:basedOn w:val="628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57">
    <w:name w:val="Index"/>
    <w:basedOn w:val="628"/>
    <w:qFormat/>
    <w:pPr>
      <w:suppressLineNumbers/>
    </w:pPr>
  </w:style>
  <w:style w:type="numbering" w:styleId="658">
    <w:name w:val="WW8Num1"/>
    <w:qFormat/>
  </w:style>
  <w:style w:type="numbering" w:styleId="659">
    <w:name w:val="WW8Num2"/>
    <w:qFormat/>
  </w:style>
  <w:style w:type="numbering" w:styleId="660">
    <w:name w:val="WW8Num3"/>
    <w:qFormat/>
  </w:style>
  <w:style w:type="numbering" w:styleId="661">
    <w:name w:val="WW8Num4"/>
    <w:qFormat/>
  </w:style>
  <w:style w:type="numbering" w:styleId="662">
    <w:name w:val="WW8Num5"/>
    <w:qFormat/>
  </w:style>
  <w:style w:type="numbering" w:styleId="663">
    <w:name w:val="WW8Num6"/>
    <w:qFormat/>
  </w:style>
  <w:style w:type="numbering" w:styleId="664">
    <w:name w:val="WW8Num7"/>
    <w:qFormat/>
  </w:style>
  <w:style w:type="numbering" w:styleId="665">
    <w:name w:val="WW8Num8"/>
    <w:qFormat/>
  </w:style>
  <w:style w:type="numbering" w:styleId="666">
    <w:name w:val="WW8Num9"/>
    <w:qFormat/>
  </w:style>
  <w:style w:type="numbering" w:styleId="667">
    <w:name w:val="WW8Num10"/>
    <w:qFormat/>
  </w:style>
  <w:style w:type="numbering" w:styleId="668">
    <w:name w:val="WW8Num11"/>
    <w:qFormat/>
  </w:style>
  <w:style w:type="character" w:styleId="1075" w:default="1">
    <w:name w:val="Default Paragraph Font"/>
    <w:uiPriority w:val="1"/>
    <w:semiHidden/>
    <w:unhideWhenUsed/>
  </w:style>
  <w:style w:type="numbering" w:styleId="1076" w:default="1">
    <w:name w:val="No List"/>
    <w:uiPriority w:val="99"/>
    <w:semiHidden/>
    <w:unhideWhenUsed/>
  </w:style>
  <w:style w:type="table" w:styleId="10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dc:language>en-US</dc:language>
  <cp:lastModifiedBy>Елена Рябцева</cp:lastModifiedBy>
  <cp:revision>5</cp:revision>
  <dcterms:created xsi:type="dcterms:W3CDTF">2023-10-25T11:39:00Z</dcterms:created>
  <dcterms:modified xsi:type="dcterms:W3CDTF">2023-10-25T12:11:02Z</dcterms:modified>
</cp:coreProperties>
</file>